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lang w:val="en-US" w:eastAsia="zh-CN"/>
        </w:rPr>
      </w:pPr>
      <w:bookmarkStart w:id="0" w:name="_Toc448327549"/>
      <w:r>
        <w:rPr>
          <w:rFonts w:hint="eastAsia"/>
          <w:lang w:val="en-US" w:eastAsia="zh-CN"/>
        </w:rPr>
        <w:t xml:space="preserve">                            </w:t>
      </w:r>
    </w:p>
    <w:p>
      <w:pPr>
        <w:pStyle w:val="26"/>
        <w:numPr>
          <w:ilvl w:val="0"/>
          <w:numId w:val="1"/>
        </w:numPr>
        <w:rPr>
          <w:position w:val="-1"/>
        </w:rPr>
      </w:pPr>
      <w:r>
        <w:rPr>
          <w:rFonts w:hint="eastAsia"/>
          <w:lang w:val="en-US" w:eastAsia="zh-CN"/>
        </w:rPr>
        <w:t xml:space="preserve">      </w:t>
      </w:r>
      <w:r>
        <w:rPr>
          <w:b/>
          <w:bCs/>
          <w:spacing w:val="1"/>
          <w:w w:val="99"/>
        </w:rPr>
        <w:t xml:space="preserve"> </w:t>
      </w:r>
      <w:r>
        <w:rPr>
          <w:rFonts w:hint="eastAsia"/>
          <w:b/>
          <w:bCs/>
          <w:spacing w:val="-1"/>
          <w:lang w:eastAsia="zh-CN"/>
        </w:rPr>
        <w:t>技术参数</w:t>
      </w:r>
      <w:r>
        <w:rPr>
          <w:rFonts w:hint="eastAsia"/>
          <w:lang w:val="en-US" w:eastAsia="zh-CN"/>
        </w:rPr>
        <w:t xml:space="preserve">     </w:t>
      </w:r>
      <w:bookmarkEnd w:id="0"/>
    </w:p>
    <w:p>
      <w:pPr>
        <w:pStyle w:val="26"/>
        <w:rPr>
          <w:rFonts w:hint="eastAsia"/>
          <w:w w:val="108"/>
          <w:lang w:eastAsia="zh-CN"/>
        </w:rPr>
      </w:pPr>
      <w:r>
        <w:rPr>
          <w:rFonts w:hint="eastAsia"/>
          <w:spacing w:val="1"/>
          <w:w w:val="99"/>
          <w:position w:val="-1"/>
          <w:lang w:val="en-US" w:eastAsia="zh-CN"/>
        </w:rPr>
        <w:t>1.1</w:t>
      </w:r>
      <w:r>
        <w:rPr>
          <w:rFonts w:hint="eastAsia"/>
          <w:w w:val="108"/>
          <w:lang w:val="en-US" w:eastAsia="zh-CN"/>
        </w:rPr>
        <w:t>同步</w:t>
      </w:r>
      <w:r>
        <w:rPr>
          <w:rFonts w:hint="eastAsia"/>
          <w:w w:val="108"/>
          <w:lang w:eastAsia="zh-CN"/>
        </w:rPr>
        <w:t>电机</w:t>
      </w:r>
    </w:p>
    <w:tbl>
      <w:tblPr>
        <w:tblStyle w:val="12"/>
        <w:tblpPr w:leftFromText="180" w:rightFromText="180" w:vertAnchor="text" w:horzAnchor="page" w:tblpX="1294" w:tblpY="1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3"/>
        <w:gridCol w:w="6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63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额定工作电压</w:t>
            </w:r>
          </w:p>
        </w:tc>
        <w:tc>
          <w:tcPr>
            <w:tcW w:w="6212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AC220V、50Hz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63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额定功率</w:t>
            </w:r>
          </w:p>
        </w:tc>
        <w:tc>
          <w:tcPr>
            <w:tcW w:w="6212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&lt;4W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63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工作电压范围</w:t>
            </w:r>
          </w:p>
        </w:tc>
        <w:tc>
          <w:tcPr>
            <w:tcW w:w="6212" w:type="dxa"/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AC220V（-15%～+10%）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63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最大行程</w:t>
            </w:r>
          </w:p>
        </w:tc>
        <w:tc>
          <w:tcPr>
            <w:tcW w:w="6212" w:type="dxa"/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最大行程 7.5mm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63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最大推力</w:t>
            </w:r>
          </w:p>
        </w:tc>
        <w:tc>
          <w:tcPr>
            <w:tcW w:w="6212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额定电压和频率下，&gt;</w:t>
            </w:r>
            <w:r>
              <w:rPr>
                <w:rFonts w:hint="eastAsia"/>
                <w:sz w:val="24"/>
                <w:lang w:val="en-US" w:eastAsia="zh-CN"/>
              </w:rPr>
              <w:t>55</w:t>
            </w:r>
            <w:r>
              <w:rPr>
                <w:rFonts w:hint="eastAsia"/>
                <w:sz w:val="24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3163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通断时间</w:t>
            </w:r>
          </w:p>
        </w:tc>
        <w:tc>
          <w:tcPr>
            <w:tcW w:w="6212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  <w:lang w:eastAsia="zh-CN"/>
              </w:rPr>
              <w:t>额定电压和频率下</w:t>
            </w:r>
            <w:r>
              <w:rPr>
                <w:rFonts w:hint="eastAsia"/>
                <w:sz w:val="24"/>
              </w:rPr>
              <w:t>顶杆顶出动作大于6S，顶杆缩进动作大于4S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63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电气强度</w:t>
            </w:r>
          </w:p>
        </w:tc>
        <w:tc>
          <w:tcPr>
            <w:tcW w:w="6212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承受1800V、50Hz电压历时1min，漏电流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mA以下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63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绝缘电阻</w:t>
            </w:r>
          </w:p>
        </w:tc>
        <w:tc>
          <w:tcPr>
            <w:tcW w:w="6212" w:type="dxa"/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sz w:val="24"/>
              </w:rPr>
              <w:t>插片与电机外壳电阻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00MΩ以上(DC500V)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63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6212" w:type="dxa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163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6212" w:type="dxa"/>
            <w:vAlign w:val="center"/>
          </w:tcPr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</w:tbl>
    <w:p>
      <w:pPr>
        <w:pStyle w:val="26"/>
        <w:ind w:left="0" w:leftChars="0" w:firstLine="0" w:firstLineChars="0"/>
        <w:rPr>
          <w:position w:val="-1"/>
        </w:rPr>
      </w:pPr>
    </w:p>
    <w:p>
      <w:pPr>
        <w:pStyle w:val="26"/>
        <w:rPr>
          <w:rFonts w:hint="eastAsia"/>
          <w:w w:val="108"/>
          <w:lang w:val="en-US" w:eastAsia="zh-CN"/>
        </w:rPr>
      </w:pPr>
      <w:r>
        <w:rPr>
          <w:rFonts w:hint="eastAsia"/>
          <w:w w:val="108"/>
          <w:lang w:val="en-US" w:eastAsia="zh-CN"/>
        </w:rPr>
        <w:t>1.2旁通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 w:firstLineChars="300"/>
        <w:textAlignment w:val="auto"/>
        <w:rPr>
          <w:rFonts w:hint="eastAsia"/>
          <w:sz w:val="24"/>
          <w:szCs w:val="24"/>
        </w:rPr>
      </w:pPr>
      <w:r>
        <w:rPr>
          <w:rFonts w:hint="eastAsia"/>
          <w:position w:val="-1"/>
          <w:lang w:val="en-GB" w:eastAsia="zh-CN"/>
        </w:rPr>
        <w:t xml:space="preserve"> </w:t>
      </w:r>
      <w:r>
        <w:rPr>
          <w:rFonts w:hint="eastAsia"/>
          <w:position w:val="-1"/>
          <w:sz w:val="24"/>
          <w:szCs w:val="24"/>
          <w:lang w:val="en-GB" w:eastAsia="zh-CN"/>
        </w:rPr>
        <w:t xml:space="preserve">  </w:t>
      </w:r>
      <w:r>
        <w:rPr>
          <w:sz w:val="24"/>
          <w:szCs w:val="24"/>
        </w:rPr>
        <w:t>旁通阀在动作压力下和全开启压力下对应的水流量应符合以下要求：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rPr>
          <w:sz w:val="24"/>
          <w:szCs w:val="24"/>
        </w:rPr>
      </w:pP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如下表所示的</w:t>
      </w:r>
      <w:r>
        <w:rPr>
          <w:sz w:val="24"/>
          <w:szCs w:val="24"/>
        </w:rPr>
        <w:t>动作压力下，水泄漏流量小于</w:t>
      </w:r>
      <w:r>
        <w:rPr>
          <w:rFonts w:hint="eastAsia"/>
          <w:sz w:val="24"/>
          <w:szCs w:val="24"/>
        </w:rPr>
        <w:t>50</w:t>
      </w:r>
      <w:r>
        <w:rPr>
          <w:sz w:val="24"/>
          <w:szCs w:val="24"/>
        </w:rPr>
        <w:t>L/h；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rPr>
          <w:rFonts w:hint="eastAsia"/>
          <w:position w:val="-1"/>
          <w:lang w:eastAsia="zh-CN"/>
        </w:rPr>
      </w:pPr>
      <w:r>
        <w:rPr>
          <w:rFonts w:hint="eastAsia"/>
          <w:sz w:val="24"/>
          <w:szCs w:val="24"/>
        </w:rPr>
        <w:t>下如下表所示的</w:t>
      </w:r>
      <w:r>
        <w:rPr>
          <w:sz w:val="24"/>
          <w:szCs w:val="24"/>
        </w:rPr>
        <w:t>全开启压力下，流量不小于1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0L/h。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 w:firstLineChars="400"/>
        <w:textAlignment w:val="auto"/>
        <w:rPr>
          <w:rFonts w:hint="eastAsia"/>
          <w:position w:val="-1"/>
          <w:lang w:eastAsia="zh-CN"/>
        </w:rPr>
      </w:pPr>
      <w:r>
        <w:rPr>
          <w:rFonts w:hint="eastAsia"/>
          <w:position w:val="-1"/>
          <w:lang w:val="en-GB" w:eastAsia="zh-CN"/>
        </w:rPr>
        <w:t>推荐旁通参数：</w:t>
      </w:r>
    </w:p>
    <w:tbl>
      <w:tblPr>
        <w:tblStyle w:val="11"/>
        <w:tblW w:w="0" w:type="auto"/>
        <w:tblInd w:w="3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7"/>
        <w:gridCol w:w="3300"/>
        <w:gridCol w:w="27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347" w:type="dxa"/>
            <w:shd w:val="clear" w:color="auto" w:fill="auto"/>
            <w:noWrap w:val="0"/>
            <w:vAlign w:val="top"/>
          </w:tcPr>
          <w:p>
            <w:pPr>
              <w:pStyle w:val="26"/>
              <w:ind w:left="0" w:leftChars="0" w:firstLine="0" w:firstLineChars="0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型号（对应水泵扬程）</w:t>
            </w:r>
          </w:p>
        </w:tc>
        <w:tc>
          <w:tcPr>
            <w:tcW w:w="3300" w:type="dxa"/>
            <w:shd w:val="clear" w:color="auto" w:fill="auto"/>
            <w:noWrap w:val="0"/>
            <w:vAlign w:val="top"/>
          </w:tcPr>
          <w:p>
            <w:pPr>
              <w:pStyle w:val="26"/>
              <w:ind w:left="0" w:leftChars="0" w:firstLine="0" w:firstLineChars="0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动作压力（MPa）</w:t>
            </w:r>
          </w:p>
        </w:tc>
        <w:tc>
          <w:tcPr>
            <w:tcW w:w="2731" w:type="dxa"/>
            <w:shd w:val="clear" w:color="auto" w:fill="auto"/>
            <w:noWrap w:val="0"/>
            <w:vAlign w:val="top"/>
          </w:tcPr>
          <w:p>
            <w:pPr>
              <w:pStyle w:val="26"/>
              <w:ind w:left="0" w:leftChars="0" w:firstLine="0" w:firstLineChars="0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全开压力（MPa）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3347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5m</w:t>
            </w:r>
          </w:p>
        </w:tc>
        <w:tc>
          <w:tcPr>
            <w:tcW w:w="3300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0.03</w:t>
            </w:r>
          </w:p>
        </w:tc>
        <w:tc>
          <w:tcPr>
            <w:tcW w:w="2731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0.045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3347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6m</w:t>
            </w:r>
          </w:p>
        </w:tc>
        <w:tc>
          <w:tcPr>
            <w:tcW w:w="3300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0.04</w:t>
            </w:r>
          </w:p>
        </w:tc>
        <w:tc>
          <w:tcPr>
            <w:tcW w:w="2731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0.055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347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7m</w:t>
            </w:r>
          </w:p>
        </w:tc>
        <w:tc>
          <w:tcPr>
            <w:tcW w:w="3300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0.05</w:t>
            </w:r>
          </w:p>
        </w:tc>
        <w:tc>
          <w:tcPr>
            <w:tcW w:w="2731" w:type="dxa"/>
            <w:shd w:val="clear" w:color="auto" w:fill="auto"/>
            <w:noWrap w:val="0"/>
            <w:vAlign w:val="top"/>
          </w:tcPr>
          <w:p>
            <w:pPr>
              <w:pStyle w:val="26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0.065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auto"/>
        <w:ind w:left="0" w:leftChars="0" w:firstLine="0" w:firstLineChars="0"/>
        <w:textAlignment w:val="auto"/>
        <w:rPr>
          <w:rFonts w:hint="default"/>
          <w:position w:val="-1"/>
          <w:lang w:val="en-US" w:eastAsia="zh-CN"/>
        </w:rPr>
      </w:pPr>
      <w:r>
        <w:rPr>
          <w:rFonts w:hint="eastAsia"/>
          <w:position w:val="-1"/>
          <w:lang w:val="en-GB" w:eastAsia="zh-CN"/>
        </w:rPr>
        <w:t xml:space="preserve"> </w:t>
      </w:r>
      <w:r>
        <w:rPr>
          <w:rFonts w:hint="eastAsia"/>
          <w:position w:val="-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default"/>
          <w:position w:val="-1"/>
          <w:lang w:val="en-US" w:eastAsia="zh-CN"/>
        </w:rPr>
      </w:pPr>
      <w:bookmarkStart w:id="1" w:name="_GoBack"/>
      <w:bookmarkEnd w:id="1"/>
    </w:p>
    <w:sectPr>
      <w:headerReference r:id="rId5" w:type="default"/>
      <w:footerReference r:id="rId6" w:type="default"/>
      <w:pgSz w:w="11900" w:h="16840"/>
      <w:pgMar w:top="1474" w:right="851" w:bottom="851" w:left="851" w:header="491" w:footer="7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099"/>
        <w:tab w:val="right" w:pos="10198"/>
        <w:tab w:val="clear" w:pos="4819"/>
        <w:tab w:val="clear" w:pos="9638"/>
      </w:tabs>
    </w:pP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2212"/>
      <w:jc w:val="both"/>
    </w:pPr>
    <w:r>
      <w:rPr>
        <w:rFonts w:hint="eastAsia" w:ascii="Times New Roman" w:hAnsi="Times New Roman"/>
        <w:color w:val="363639"/>
        <w:sz w:val="32"/>
        <w:szCs w:val="32"/>
        <w:lang w:val="en-US" w:eastAsia="zh-CN"/>
      </w:rPr>
      <w:t xml:space="preserve">  </w:t>
    </w:r>
    <w:r>
      <w:drawing>
        <wp:inline distT="0" distB="0" distL="114300" distR="114300">
          <wp:extent cx="2404110" cy="325120"/>
          <wp:effectExtent l="0" t="0" r="15240" b="17780"/>
          <wp:docPr id="72" name="图片 5" descr="组合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5" descr="组合72DP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B70E1A"/>
    <w:multiLevelType w:val="singleLevel"/>
    <w:tmpl w:val="03B70E1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A9F0269"/>
    <w:multiLevelType w:val="singleLevel"/>
    <w:tmpl w:val="3A9F0269"/>
    <w:lvl w:ilvl="0" w:tentative="0">
      <w:start w:val="1"/>
      <w:numFmt w:val="lowerLetter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hyphenationZone w:val="283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NGM4OGI2ZWNiMjZiNDk1ODc0MGMyMGIyNjcxYmEifQ=="/>
  </w:docVars>
  <w:rsids>
    <w:rsidRoot w:val="00FF5C12"/>
    <w:rsid w:val="00004441"/>
    <w:rsid w:val="00021AC9"/>
    <w:rsid w:val="00021D95"/>
    <w:rsid w:val="00024788"/>
    <w:rsid w:val="00063228"/>
    <w:rsid w:val="00070166"/>
    <w:rsid w:val="00077192"/>
    <w:rsid w:val="00077801"/>
    <w:rsid w:val="00092B6C"/>
    <w:rsid w:val="000B17EF"/>
    <w:rsid w:val="000B4E93"/>
    <w:rsid w:val="000D0386"/>
    <w:rsid w:val="000D4942"/>
    <w:rsid w:val="000E3E84"/>
    <w:rsid w:val="000F1DD9"/>
    <w:rsid w:val="000F5110"/>
    <w:rsid w:val="000F6D2C"/>
    <w:rsid w:val="001056D2"/>
    <w:rsid w:val="00124F42"/>
    <w:rsid w:val="00133528"/>
    <w:rsid w:val="00134F01"/>
    <w:rsid w:val="001448EC"/>
    <w:rsid w:val="00147CD2"/>
    <w:rsid w:val="00150532"/>
    <w:rsid w:val="001530F6"/>
    <w:rsid w:val="00154389"/>
    <w:rsid w:val="00166FC8"/>
    <w:rsid w:val="00174A54"/>
    <w:rsid w:val="00174C22"/>
    <w:rsid w:val="001B2C6D"/>
    <w:rsid w:val="001B44A3"/>
    <w:rsid w:val="001C6967"/>
    <w:rsid w:val="001D1BA1"/>
    <w:rsid w:val="001E082E"/>
    <w:rsid w:val="001E378D"/>
    <w:rsid w:val="001F5DA2"/>
    <w:rsid w:val="001F6127"/>
    <w:rsid w:val="00212D89"/>
    <w:rsid w:val="00221AF2"/>
    <w:rsid w:val="002322BE"/>
    <w:rsid w:val="002328DF"/>
    <w:rsid w:val="0023717F"/>
    <w:rsid w:val="00250688"/>
    <w:rsid w:val="00250932"/>
    <w:rsid w:val="00252F22"/>
    <w:rsid w:val="00264139"/>
    <w:rsid w:val="00271AB0"/>
    <w:rsid w:val="00294E42"/>
    <w:rsid w:val="002A7682"/>
    <w:rsid w:val="002F29DA"/>
    <w:rsid w:val="00327F29"/>
    <w:rsid w:val="00334957"/>
    <w:rsid w:val="003510B7"/>
    <w:rsid w:val="00353A4B"/>
    <w:rsid w:val="00365625"/>
    <w:rsid w:val="0038238B"/>
    <w:rsid w:val="00383A20"/>
    <w:rsid w:val="00396237"/>
    <w:rsid w:val="003A0C01"/>
    <w:rsid w:val="003C0461"/>
    <w:rsid w:val="003D3DE3"/>
    <w:rsid w:val="003D480E"/>
    <w:rsid w:val="00402CFD"/>
    <w:rsid w:val="00441EE4"/>
    <w:rsid w:val="00443E5A"/>
    <w:rsid w:val="00446CC6"/>
    <w:rsid w:val="0045487A"/>
    <w:rsid w:val="004A4BCA"/>
    <w:rsid w:val="004B0364"/>
    <w:rsid w:val="004C3C3A"/>
    <w:rsid w:val="004D79C7"/>
    <w:rsid w:val="004E184D"/>
    <w:rsid w:val="004E234F"/>
    <w:rsid w:val="004E47FF"/>
    <w:rsid w:val="00503D51"/>
    <w:rsid w:val="00517688"/>
    <w:rsid w:val="0054048A"/>
    <w:rsid w:val="00542FBC"/>
    <w:rsid w:val="00573D3F"/>
    <w:rsid w:val="00585D97"/>
    <w:rsid w:val="00587736"/>
    <w:rsid w:val="00587ECA"/>
    <w:rsid w:val="005A2097"/>
    <w:rsid w:val="005B62D1"/>
    <w:rsid w:val="005D052A"/>
    <w:rsid w:val="005E7220"/>
    <w:rsid w:val="00610C27"/>
    <w:rsid w:val="00643180"/>
    <w:rsid w:val="00661779"/>
    <w:rsid w:val="00674AB3"/>
    <w:rsid w:val="00676D74"/>
    <w:rsid w:val="006A3CAE"/>
    <w:rsid w:val="006B5727"/>
    <w:rsid w:val="006B5EF9"/>
    <w:rsid w:val="006F0296"/>
    <w:rsid w:val="006F3740"/>
    <w:rsid w:val="006F58A6"/>
    <w:rsid w:val="00710A19"/>
    <w:rsid w:val="0071644D"/>
    <w:rsid w:val="0072086D"/>
    <w:rsid w:val="00726696"/>
    <w:rsid w:val="00741DC2"/>
    <w:rsid w:val="0074341A"/>
    <w:rsid w:val="007444BD"/>
    <w:rsid w:val="0074577D"/>
    <w:rsid w:val="0075057F"/>
    <w:rsid w:val="00765AAF"/>
    <w:rsid w:val="00765FB8"/>
    <w:rsid w:val="007948EA"/>
    <w:rsid w:val="007B5561"/>
    <w:rsid w:val="007C4AC2"/>
    <w:rsid w:val="007C5DDD"/>
    <w:rsid w:val="007F12FB"/>
    <w:rsid w:val="0082763A"/>
    <w:rsid w:val="00837A76"/>
    <w:rsid w:val="00845FBA"/>
    <w:rsid w:val="00855465"/>
    <w:rsid w:val="00861C48"/>
    <w:rsid w:val="00866C4D"/>
    <w:rsid w:val="00867E22"/>
    <w:rsid w:val="0088008E"/>
    <w:rsid w:val="00893CAA"/>
    <w:rsid w:val="008B52A9"/>
    <w:rsid w:val="008C3D6C"/>
    <w:rsid w:val="008C4191"/>
    <w:rsid w:val="008C46A8"/>
    <w:rsid w:val="008D0102"/>
    <w:rsid w:val="008E4CD7"/>
    <w:rsid w:val="008F5F9C"/>
    <w:rsid w:val="00917007"/>
    <w:rsid w:val="00924348"/>
    <w:rsid w:val="00964315"/>
    <w:rsid w:val="00965711"/>
    <w:rsid w:val="009664D7"/>
    <w:rsid w:val="00972D83"/>
    <w:rsid w:val="00980B85"/>
    <w:rsid w:val="009A1887"/>
    <w:rsid w:val="009C4F79"/>
    <w:rsid w:val="009E7344"/>
    <w:rsid w:val="009F2C07"/>
    <w:rsid w:val="00A07F31"/>
    <w:rsid w:val="00A41574"/>
    <w:rsid w:val="00A633D9"/>
    <w:rsid w:val="00A934E5"/>
    <w:rsid w:val="00A94152"/>
    <w:rsid w:val="00AA1EC7"/>
    <w:rsid w:val="00AB590F"/>
    <w:rsid w:val="00AD3200"/>
    <w:rsid w:val="00AF4565"/>
    <w:rsid w:val="00B06F54"/>
    <w:rsid w:val="00B13484"/>
    <w:rsid w:val="00B14915"/>
    <w:rsid w:val="00B341F6"/>
    <w:rsid w:val="00B35633"/>
    <w:rsid w:val="00B36479"/>
    <w:rsid w:val="00B56E02"/>
    <w:rsid w:val="00B608C6"/>
    <w:rsid w:val="00B66643"/>
    <w:rsid w:val="00B73F13"/>
    <w:rsid w:val="00B74DFD"/>
    <w:rsid w:val="00B920DA"/>
    <w:rsid w:val="00BA3AA9"/>
    <w:rsid w:val="00BA7A71"/>
    <w:rsid w:val="00BC5A58"/>
    <w:rsid w:val="00BF2A40"/>
    <w:rsid w:val="00C04D46"/>
    <w:rsid w:val="00C05E23"/>
    <w:rsid w:val="00C12858"/>
    <w:rsid w:val="00C227E5"/>
    <w:rsid w:val="00C45CC1"/>
    <w:rsid w:val="00C54127"/>
    <w:rsid w:val="00C54CB5"/>
    <w:rsid w:val="00C619AE"/>
    <w:rsid w:val="00C668AE"/>
    <w:rsid w:val="00C72D7B"/>
    <w:rsid w:val="00CA35A3"/>
    <w:rsid w:val="00CA4D90"/>
    <w:rsid w:val="00CB72EA"/>
    <w:rsid w:val="00CD496C"/>
    <w:rsid w:val="00CE5896"/>
    <w:rsid w:val="00D14C29"/>
    <w:rsid w:val="00D175E4"/>
    <w:rsid w:val="00D21DBF"/>
    <w:rsid w:val="00D36DDC"/>
    <w:rsid w:val="00D52FBD"/>
    <w:rsid w:val="00D60D08"/>
    <w:rsid w:val="00D764BC"/>
    <w:rsid w:val="00D84166"/>
    <w:rsid w:val="00D90AEF"/>
    <w:rsid w:val="00DA43DD"/>
    <w:rsid w:val="00DB3058"/>
    <w:rsid w:val="00DC379C"/>
    <w:rsid w:val="00DC62B9"/>
    <w:rsid w:val="00E06F8A"/>
    <w:rsid w:val="00E14E19"/>
    <w:rsid w:val="00E35B04"/>
    <w:rsid w:val="00E373C2"/>
    <w:rsid w:val="00E629AC"/>
    <w:rsid w:val="00E76604"/>
    <w:rsid w:val="00E96549"/>
    <w:rsid w:val="00ED1A8A"/>
    <w:rsid w:val="00EE74BD"/>
    <w:rsid w:val="00F0320C"/>
    <w:rsid w:val="00F52F84"/>
    <w:rsid w:val="00F5625B"/>
    <w:rsid w:val="00F63E09"/>
    <w:rsid w:val="00F7096D"/>
    <w:rsid w:val="00F90949"/>
    <w:rsid w:val="00FA37B9"/>
    <w:rsid w:val="00FA53AA"/>
    <w:rsid w:val="00FC09ED"/>
    <w:rsid w:val="00FD6BC7"/>
    <w:rsid w:val="00FF5C12"/>
    <w:rsid w:val="046057D9"/>
    <w:rsid w:val="0482362C"/>
    <w:rsid w:val="049764EA"/>
    <w:rsid w:val="05AC235C"/>
    <w:rsid w:val="05AD7424"/>
    <w:rsid w:val="05B501FC"/>
    <w:rsid w:val="0679211F"/>
    <w:rsid w:val="07C363B1"/>
    <w:rsid w:val="083C63DB"/>
    <w:rsid w:val="09055425"/>
    <w:rsid w:val="09410183"/>
    <w:rsid w:val="0B507E09"/>
    <w:rsid w:val="0CAF23E3"/>
    <w:rsid w:val="0DA20A05"/>
    <w:rsid w:val="0E3B567A"/>
    <w:rsid w:val="0F3D321B"/>
    <w:rsid w:val="0FB04E12"/>
    <w:rsid w:val="11CA597D"/>
    <w:rsid w:val="12770534"/>
    <w:rsid w:val="12CE43B0"/>
    <w:rsid w:val="12D04817"/>
    <w:rsid w:val="12D77D28"/>
    <w:rsid w:val="12EA6CD1"/>
    <w:rsid w:val="132D26AD"/>
    <w:rsid w:val="1373298F"/>
    <w:rsid w:val="1407112D"/>
    <w:rsid w:val="14D95DE6"/>
    <w:rsid w:val="186E01FF"/>
    <w:rsid w:val="18BC3CF5"/>
    <w:rsid w:val="18C32E76"/>
    <w:rsid w:val="199129D6"/>
    <w:rsid w:val="1A516CF4"/>
    <w:rsid w:val="1A825BFF"/>
    <w:rsid w:val="1BBE11CD"/>
    <w:rsid w:val="1E1E4225"/>
    <w:rsid w:val="1F1F2D13"/>
    <w:rsid w:val="1FEE4B41"/>
    <w:rsid w:val="203E033E"/>
    <w:rsid w:val="204342B4"/>
    <w:rsid w:val="20FF622F"/>
    <w:rsid w:val="21BE4895"/>
    <w:rsid w:val="21CA21DF"/>
    <w:rsid w:val="239F4356"/>
    <w:rsid w:val="25384CE5"/>
    <w:rsid w:val="257E7EFC"/>
    <w:rsid w:val="261955F2"/>
    <w:rsid w:val="27864F60"/>
    <w:rsid w:val="27BC474C"/>
    <w:rsid w:val="2A996498"/>
    <w:rsid w:val="2CD95D42"/>
    <w:rsid w:val="2D822062"/>
    <w:rsid w:val="2DD863EB"/>
    <w:rsid w:val="2EF74626"/>
    <w:rsid w:val="2F3A1A50"/>
    <w:rsid w:val="2FD95EAD"/>
    <w:rsid w:val="308A51ED"/>
    <w:rsid w:val="30BB0B40"/>
    <w:rsid w:val="31697CC4"/>
    <w:rsid w:val="326E1CC5"/>
    <w:rsid w:val="33535F40"/>
    <w:rsid w:val="336B70B7"/>
    <w:rsid w:val="3431754E"/>
    <w:rsid w:val="356B779A"/>
    <w:rsid w:val="35B660BC"/>
    <w:rsid w:val="35C81465"/>
    <w:rsid w:val="35E55024"/>
    <w:rsid w:val="35E56431"/>
    <w:rsid w:val="3615614C"/>
    <w:rsid w:val="36957EC0"/>
    <w:rsid w:val="36D80266"/>
    <w:rsid w:val="373D1180"/>
    <w:rsid w:val="37427E5C"/>
    <w:rsid w:val="37B06801"/>
    <w:rsid w:val="381330CB"/>
    <w:rsid w:val="39627DA6"/>
    <w:rsid w:val="3A2754E1"/>
    <w:rsid w:val="3A7966A0"/>
    <w:rsid w:val="3B464A27"/>
    <w:rsid w:val="3F7F75EB"/>
    <w:rsid w:val="3F850E1F"/>
    <w:rsid w:val="3FE1681D"/>
    <w:rsid w:val="3FF56E12"/>
    <w:rsid w:val="413038DF"/>
    <w:rsid w:val="41696F54"/>
    <w:rsid w:val="44A9408F"/>
    <w:rsid w:val="44D62D4E"/>
    <w:rsid w:val="45B1783B"/>
    <w:rsid w:val="46F26405"/>
    <w:rsid w:val="47390611"/>
    <w:rsid w:val="475A5B4F"/>
    <w:rsid w:val="48853228"/>
    <w:rsid w:val="48897D68"/>
    <w:rsid w:val="48D02F9B"/>
    <w:rsid w:val="491772C4"/>
    <w:rsid w:val="4A222CDD"/>
    <w:rsid w:val="4A511884"/>
    <w:rsid w:val="4A883500"/>
    <w:rsid w:val="4AC410A5"/>
    <w:rsid w:val="4C212ECC"/>
    <w:rsid w:val="4CEF7992"/>
    <w:rsid w:val="4CFF796D"/>
    <w:rsid w:val="4EB22016"/>
    <w:rsid w:val="4EDD19C1"/>
    <w:rsid w:val="4FA605EB"/>
    <w:rsid w:val="50750813"/>
    <w:rsid w:val="51612B26"/>
    <w:rsid w:val="519203C7"/>
    <w:rsid w:val="52B844FA"/>
    <w:rsid w:val="533E3ECB"/>
    <w:rsid w:val="53804D97"/>
    <w:rsid w:val="54BF5EEB"/>
    <w:rsid w:val="54C7411E"/>
    <w:rsid w:val="54D66E6B"/>
    <w:rsid w:val="54E577A4"/>
    <w:rsid w:val="550A3675"/>
    <w:rsid w:val="566104AC"/>
    <w:rsid w:val="57023958"/>
    <w:rsid w:val="57580736"/>
    <w:rsid w:val="5B8D6020"/>
    <w:rsid w:val="5C115C4C"/>
    <w:rsid w:val="5C6E18ED"/>
    <w:rsid w:val="5C9309C2"/>
    <w:rsid w:val="5D144E53"/>
    <w:rsid w:val="5D427C03"/>
    <w:rsid w:val="5D9C4139"/>
    <w:rsid w:val="5D9D4CB9"/>
    <w:rsid w:val="5EAE7E56"/>
    <w:rsid w:val="5ED26B33"/>
    <w:rsid w:val="5FBD7A42"/>
    <w:rsid w:val="60FF7636"/>
    <w:rsid w:val="610B2C83"/>
    <w:rsid w:val="61614CFD"/>
    <w:rsid w:val="62874772"/>
    <w:rsid w:val="648D444C"/>
    <w:rsid w:val="66756AF1"/>
    <w:rsid w:val="66DE3310"/>
    <w:rsid w:val="67E414E1"/>
    <w:rsid w:val="68300A6D"/>
    <w:rsid w:val="6856566B"/>
    <w:rsid w:val="68E562CC"/>
    <w:rsid w:val="69537A40"/>
    <w:rsid w:val="6A012308"/>
    <w:rsid w:val="6B9429AC"/>
    <w:rsid w:val="6FD61521"/>
    <w:rsid w:val="70A97A85"/>
    <w:rsid w:val="712A76E8"/>
    <w:rsid w:val="72A31EDA"/>
    <w:rsid w:val="735510B4"/>
    <w:rsid w:val="738E448E"/>
    <w:rsid w:val="746377D8"/>
    <w:rsid w:val="74A92F39"/>
    <w:rsid w:val="753165C9"/>
    <w:rsid w:val="75667DE5"/>
    <w:rsid w:val="765D5B7D"/>
    <w:rsid w:val="78FF6F8E"/>
    <w:rsid w:val="794620B0"/>
    <w:rsid w:val="795C07F3"/>
    <w:rsid w:val="79B30097"/>
    <w:rsid w:val="7AB24789"/>
    <w:rsid w:val="7C566D6D"/>
    <w:rsid w:val="7D5C73AB"/>
    <w:rsid w:val="7D76427D"/>
    <w:rsid w:val="7D8325A1"/>
    <w:rsid w:val="7DAE24D1"/>
    <w:rsid w:val="7F374D46"/>
    <w:rsid w:val="7F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spacing w:after="100"/>
      <w:ind w:left="440"/>
    </w:pPr>
  </w:style>
  <w:style w:type="paragraph" w:styleId="6">
    <w:name w:val="Balloon Text"/>
    <w:basedOn w:val="1"/>
    <w:link w:val="22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8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toc 1"/>
    <w:basedOn w:val="1"/>
    <w:next w:val="1"/>
    <w:qFormat/>
    <w:uiPriority w:val="99"/>
    <w:pPr>
      <w:tabs>
        <w:tab w:val="right" w:leader="dot" w:pos="10188"/>
      </w:tabs>
      <w:spacing w:after="100"/>
    </w:pPr>
  </w:style>
  <w:style w:type="paragraph" w:styleId="10">
    <w:name w:val="toc 2"/>
    <w:basedOn w:val="1"/>
    <w:next w:val="1"/>
    <w:qFormat/>
    <w:uiPriority w:val="99"/>
    <w:pPr>
      <w:spacing w:after="100"/>
      <w:ind w:left="220"/>
    </w:p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3"/>
    <w:link w:val="2"/>
    <w:qFormat/>
    <w:locked/>
    <w:uiPriority w:val="99"/>
    <w:rPr>
      <w:rFonts w:ascii="Cambria" w:hAnsi="Cambria" w:eastAsia="宋体" w:cs="Times New Roman"/>
      <w:color w:val="365F91"/>
      <w:sz w:val="32"/>
      <w:szCs w:val="32"/>
    </w:rPr>
  </w:style>
  <w:style w:type="character" w:customStyle="1" w:styleId="16">
    <w:name w:val="Heading 2 Char"/>
    <w:basedOn w:val="13"/>
    <w:link w:val="3"/>
    <w:qFormat/>
    <w:locked/>
    <w:uiPriority w:val="99"/>
    <w:rPr>
      <w:rFonts w:ascii="Cambria" w:hAnsi="Cambria" w:eastAsia="宋体" w:cs="Times New Roman"/>
      <w:color w:val="365F91"/>
      <w:sz w:val="26"/>
      <w:szCs w:val="26"/>
    </w:rPr>
  </w:style>
  <w:style w:type="character" w:customStyle="1" w:styleId="17">
    <w:name w:val="Heading 3 Char"/>
    <w:basedOn w:val="13"/>
    <w:link w:val="4"/>
    <w:qFormat/>
    <w:locked/>
    <w:uiPriority w:val="99"/>
    <w:rPr>
      <w:rFonts w:ascii="Cambria" w:hAnsi="Cambria" w:eastAsia="宋体" w:cs="Times New Roman"/>
      <w:color w:val="243F60"/>
      <w:sz w:val="24"/>
      <w:szCs w:val="24"/>
    </w:rPr>
  </w:style>
  <w:style w:type="character" w:customStyle="1" w:styleId="18">
    <w:name w:val="Header Char"/>
    <w:basedOn w:val="13"/>
    <w:link w:val="8"/>
    <w:qFormat/>
    <w:locked/>
    <w:uiPriority w:val="99"/>
    <w:rPr>
      <w:rFonts w:cs="Times New Roman"/>
    </w:rPr>
  </w:style>
  <w:style w:type="character" w:customStyle="1" w:styleId="19">
    <w:name w:val="Footer Char"/>
    <w:basedOn w:val="13"/>
    <w:link w:val="7"/>
    <w:qFormat/>
    <w:locked/>
    <w:uiPriority w:val="99"/>
    <w:rPr>
      <w:rFonts w:cs="Times New Roman"/>
    </w:rPr>
  </w:style>
  <w:style w:type="character" w:styleId="20">
    <w:name w:val="Placeholder Text"/>
    <w:basedOn w:val="13"/>
    <w:semiHidden/>
    <w:qFormat/>
    <w:uiPriority w:val="99"/>
    <w:rPr>
      <w:rFonts w:cs="Times New Roman"/>
      <w:color w:val="808080"/>
    </w:rPr>
  </w:style>
  <w:style w:type="paragraph" w:customStyle="1" w:styleId="21">
    <w:name w:val="TOC Heading"/>
    <w:basedOn w:val="2"/>
    <w:next w:val="1"/>
    <w:qFormat/>
    <w:uiPriority w:val="99"/>
    <w:pPr>
      <w:widowControl/>
      <w:spacing w:line="259" w:lineRule="auto"/>
      <w:outlineLvl w:val="9"/>
    </w:pPr>
    <w:rPr>
      <w:lang w:val="it-IT" w:eastAsia="it-IT"/>
    </w:rPr>
  </w:style>
  <w:style w:type="character" w:customStyle="1" w:styleId="22">
    <w:name w:val="Balloon Text Char"/>
    <w:basedOn w:val="13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ps"/>
    <w:basedOn w:val="13"/>
    <w:qFormat/>
    <w:uiPriority w:val="99"/>
    <w:rPr>
      <w:rFonts w:cs="Times New Roman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character" w:customStyle="1" w:styleId="25">
    <w:name w:val="short_text"/>
    <w:basedOn w:val="13"/>
    <w:qFormat/>
    <w:uiPriority w:val="99"/>
    <w:rPr>
      <w:rFonts w:cs="Times New Roman"/>
    </w:rPr>
  </w:style>
  <w:style w:type="paragraph" w:customStyle="1" w:styleId="26">
    <w:name w:val="My Titolo 2"/>
    <w:basedOn w:val="3"/>
    <w:link w:val="28"/>
    <w:qFormat/>
    <w:uiPriority w:val="99"/>
    <w:pPr>
      <w:ind w:left="709"/>
    </w:pPr>
    <w:rPr>
      <w:rFonts w:ascii="Times New Roman" w:hAnsi="Times New Roman"/>
      <w:color w:val="auto"/>
      <w:sz w:val="24"/>
      <w:szCs w:val="24"/>
    </w:rPr>
  </w:style>
  <w:style w:type="paragraph" w:customStyle="1" w:styleId="27">
    <w:name w:val="My Titolo 1"/>
    <w:basedOn w:val="2"/>
    <w:link w:val="30"/>
    <w:qFormat/>
    <w:uiPriority w:val="99"/>
    <w:pPr>
      <w:ind w:left="142"/>
    </w:pPr>
    <w:rPr>
      <w:rFonts w:ascii="Times New Roman" w:hAnsi="Times New Roman"/>
      <w:color w:val="auto"/>
      <w:w w:val="99"/>
      <w:sz w:val="24"/>
      <w:szCs w:val="24"/>
    </w:rPr>
  </w:style>
  <w:style w:type="character" w:customStyle="1" w:styleId="28">
    <w:name w:val="My Titolo 2 Carattere"/>
    <w:basedOn w:val="16"/>
    <w:link w:val="26"/>
    <w:qFormat/>
    <w:locked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9">
    <w:name w:val="My Titolo 3"/>
    <w:basedOn w:val="4"/>
    <w:link w:val="31"/>
    <w:qFormat/>
    <w:uiPriority w:val="99"/>
    <w:pPr>
      <w:ind w:left="851"/>
    </w:pPr>
    <w:rPr>
      <w:rFonts w:ascii="Times New Roman" w:hAnsi="Times New Roman"/>
      <w:color w:val="000000"/>
    </w:rPr>
  </w:style>
  <w:style w:type="character" w:customStyle="1" w:styleId="30">
    <w:name w:val="My Titolo 1 Carattere"/>
    <w:basedOn w:val="15"/>
    <w:link w:val="27"/>
    <w:qFormat/>
    <w:locked/>
    <w:uiPriority w:val="99"/>
    <w:rPr>
      <w:rFonts w:ascii="Times New Roman" w:hAnsi="Times New Roman" w:eastAsia="Times New Roman"/>
      <w:w w:val="99"/>
      <w:sz w:val="24"/>
      <w:szCs w:val="24"/>
    </w:rPr>
  </w:style>
  <w:style w:type="character" w:customStyle="1" w:styleId="31">
    <w:name w:val="My Titolo 3 Carattere"/>
    <w:basedOn w:val="28"/>
    <w:link w:val="29"/>
    <w:qFormat/>
    <w:locked/>
    <w:uiPriority w:val="99"/>
    <w:rPr>
      <w:rFonts w:eastAsia="宋体"/>
      <w:color w:val="000000"/>
    </w:rPr>
  </w:style>
  <w:style w:type="paragraph" w:customStyle="1" w:styleId="32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33">
    <w:name w:val="No Spacing"/>
    <w:qFormat/>
    <w:uiPriority w:val="1"/>
    <w:rPr>
      <w:rFonts w:ascii="Calibri" w:hAnsi="Calibri" w:cs="Times New Roman" w:eastAsiaTheme="minorEastAsia"/>
      <w:sz w:val="22"/>
      <w:szCs w:val="22"/>
      <w:lang w:val="en-GB" w:eastAsia="en-US" w:bidi="ar-SA"/>
    </w:rPr>
  </w:style>
  <w:style w:type="paragraph" w:customStyle="1" w:styleId="34">
    <w:name w:val="二级条标题"/>
    <w:basedOn w:val="1"/>
    <w:next w:val="1"/>
    <w:qFormat/>
    <w:uiPriority w:val="0"/>
    <w:pPr>
      <w:widowControl/>
      <w:spacing w:beforeLines="50" w:afterLines="50"/>
      <w:jc w:val="left"/>
      <w:outlineLvl w:val="3"/>
    </w:pPr>
    <w:rPr>
      <w:rFonts w:ascii="黑体" w:hAnsi="黑体" w:eastAsia="黑体" w:cs="宋体"/>
      <w:kern w:val="0"/>
      <w:szCs w:val="21"/>
    </w:rPr>
  </w:style>
  <w:style w:type="paragraph" w:customStyle="1" w:styleId="3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一级条标题"/>
    <w:basedOn w:val="1"/>
    <w:next w:val="1"/>
    <w:qFormat/>
    <w:uiPriority w:val="0"/>
    <w:pPr>
      <w:widowControl/>
      <w:spacing w:beforeLines="50" w:afterLines="50"/>
      <w:jc w:val="left"/>
      <w:outlineLvl w:val="2"/>
    </w:pPr>
    <w:rPr>
      <w:rFonts w:ascii="黑体" w:hAnsi="黑体" w:eastAsia="黑体" w:cs="宋体"/>
      <w:kern w:val="0"/>
      <w:szCs w:val="21"/>
    </w:rPr>
  </w:style>
  <w:style w:type="paragraph" w:customStyle="1" w:styleId="38">
    <w:name w:val="字母编号列项（一级）"/>
    <w:basedOn w:val="1"/>
    <w:qFormat/>
    <w:uiPriority w:val="0"/>
    <w:pPr>
      <w:widowControl/>
      <w:spacing w:before="100" w:beforeAutospacing="1" w:after="100" w:afterAutospacing="1"/>
      <w:ind w:left="839" w:hanging="419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Ferroli S.p.A.</Company>
  <Pages>6</Pages>
  <Words>669</Words>
  <Characters>931</Characters>
  <Lines>0</Lines>
  <Paragraphs>0</Paragraphs>
  <TotalTime>11</TotalTime>
  <ScaleCrop>false</ScaleCrop>
  <LinksUpToDate>false</LinksUpToDate>
  <CharactersWithSpaces>1530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2016-01-13T09:47:00Z</dcterms:created>
  <dc:creator>Garzon Doriano</dc:creator>
  <cp:lastModifiedBy>相似的影子</cp:lastModifiedBy>
  <cp:lastPrinted>2021-04-12T05:40:00Z</cp:lastPrinted>
  <dcterms:modified xsi:type="dcterms:W3CDTF">2023-09-05T00:46:58Z</dcterms:modified>
  <dc:title>Hydrobloc technical specification ind 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5BA4CBBDD635446ABDD01A74FCA7864A</vt:lpwstr>
  </property>
</Properties>
</file>